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36C5" w14:textId="7EFC9308" w:rsidR="00334D7C" w:rsidRDefault="4A17A2BF" w:rsidP="1E0654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4A416952" wp14:editId="32903A39">
            <wp:extent cx="790575" cy="762000"/>
            <wp:effectExtent l="0" t="0" r="0" b="0"/>
            <wp:docPr id="1360552171" name="Picture 136055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D7C">
        <w:tab/>
      </w:r>
      <w:r w:rsidR="00334D7C">
        <w:tab/>
      </w:r>
      <w:r w:rsidR="00334D7C">
        <w:tab/>
      </w:r>
      <w:r w:rsidR="00334D7C">
        <w:tab/>
      </w:r>
      <w:r w:rsidRPr="1E0654E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40"/>
          <w:szCs w:val="40"/>
        </w:rPr>
        <w:t xml:space="preserve">Brandon Jones </w:t>
      </w:r>
      <w:r w:rsidR="00334D7C">
        <w:tab/>
      </w:r>
      <w:r w:rsidR="00334D7C">
        <w:tab/>
      </w:r>
      <w:r w:rsidR="00334D7C">
        <w:tab/>
      </w:r>
      <w:r w:rsidR="00334D7C">
        <w:tab/>
      </w:r>
      <w:r>
        <w:rPr>
          <w:noProof/>
        </w:rPr>
        <w:drawing>
          <wp:inline distT="0" distB="0" distL="0" distR="0" wp14:anchorId="54C08F92" wp14:editId="7A6DF7BD">
            <wp:extent cx="790575" cy="762000"/>
            <wp:effectExtent l="0" t="0" r="0" b="0"/>
            <wp:docPr id="1136932751" name="Picture 113693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FD30" w14:textId="06DCC575" w:rsidR="00334D7C" w:rsidRDefault="4A17A2BF" w:rsidP="1E0654E4">
      <w:pPr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1E0654E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40"/>
          <w:szCs w:val="40"/>
        </w:rPr>
        <w:t xml:space="preserve">Loving County Constable </w:t>
      </w:r>
    </w:p>
    <w:p w14:paraId="64C6DFD8" w14:textId="23B93D45" w:rsidR="00334D7C" w:rsidRDefault="4A17A2BF" w:rsidP="1E0654E4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1E0654E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P.O. Box 217 </w:t>
      </w:r>
      <w:r w:rsidRPr="1E0654E4">
        <w:rPr>
          <w:rFonts w:ascii="Wingdings 2" w:eastAsia="Wingdings 2" w:hAnsi="Wingdings 2" w:cs="Wingdings 2"/>
          <w:b/>
          <w:bCs/>
          <w:smallCaps/>
          <w:color w:val="000000" w:themeColor="text1"/>
          <w:sz w:val="16"/>
          <w:szCs w:val="16"/>
        </w:rPr>
        <w:t>⬤</w:t>
      </w:r>
      <w:r w:rsidRPr="1E0654E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100 Bell Street </w:t>
      </w:r>
      <w:r w:rsidRPr="1E0654E4">
        <w:rPr>
          <w:rFonts w:ascii="Wingdings 2" w:eastAsia="Wingdings 2" w:hAnsi="Wingdings 2" w:cs="Wingdings 2"/>
          <w:b/>
          <w:bCs/>
          <w:smallCaps/>
          <w:color w:val="000000" w:themeColor="text1"/>
          <w:sz w:val="16"/>
          <w:szCs w:val="16"/>
        </w:rPr>
        <w:t>⬤</w:t>
      </w:r>
      <w:r w:rsidRPr="1E0654E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 Mentone, Texas </w:t>
      </w:r>
      <w:r w:rsidRPr="1E0654E4">
        <w:rPr>
          <w:rFonts w:ascii="Wingdings 2" w:eastAsia="Wingdings 2" w:hAnsi="Wingdings 2" w:cs="Wingdings 2"/>
          <w:b/>
          <w:bCs/>
          <w:smallCaps/>
          <w:color w:val="000000" w:themeColor="text1"/>
          <w:sz w:val="16"/>
          <w:szCs w:val="16"/>
        </w:rPr>
        <w:t>⬤</w:t>
      </w:r>
      <w:r w:rsidRPr="1E0654E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 Phone: 432-215-0101</w:t>
      </w:r>
      <w:r w:rsidRPr="1E0654E4">
        <w:rPr>
          <w:rFonts w:ascii="Wingdings 2" w:eastAsia="Wingdings 2" w:hAnsi="Wingdings 2" w:cs="Wingdings 2"/>
          <w:b/>
          <w:bCs/>
          <w:smallCaps/>
          <w:color w:val="000000" w:themeColor="text1"/>
          <w:sz w:val="16"/>
          <w:szCs w:val="16"/>
        </w:rPr>
        <w:t>⬤</w:t>
      </w:r>
      <w:r w:rsidRPr="1E0654E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Email: </w:t>
      </w:r>
      <w:hyperlink r:id="rId8">
        <w:r w:rsidRPr="1E0654E4">
          <w:rPr>
            <w:rStyle w:val="Hyperlink"/>
            <w:rFonts w:ascii="Times New Roman" w:eastAsia="Times New Roman" w:hAnsi="Times New Roman" w:cs="Times New Roman"/>
            <w:b/>
            <w:bCs/>
            <w:smallCaps/>
            <w:sz w:val="16"/>
            <w:szCs w:val="16"/>
          </w:rPr>
          <w:t>lovingconstable@co.loving.tx.us</w:t>
        </w:r>
      </w:hyperlink>
    </w:p>
    <w:p w14:paraId="00CEBB7B" w14:textId="03EE491C" w:rsidR="00334D7C" w:rsidRDefault="00334D7C" w:rsidP="1E0654E4">
      <w:pPr>
        <w:rPr>
          <w:rFonts w:ascii="Calibri" w:eastAsia="Calibri" w:hAnsi="Calibri" w:cs="Calibri"/>
          <w:color w:val="000000" w:themeColor="text1"/>
        </w:rPr>
      </w:pPr>
    </w:p>
    <w:p w14:paraId="672A6659" w14:textId="21A8C808" w:rsidR="00334D7C" w:rsidRDefault="00334D7C" w:rsidP="1E0654E4"/>
    <w:p w14:paraId="438D3436" w14:textId="67AB9313" w:rsidR="00334D7C" w:rsidRPr="00334D7C" w:rsidRDefault="00334D7C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75D63665" w:rsidRPr="27B0C237">
        <w:rPr>
          <w:rFonts w:asciiTheme="majorHAnsi" w:hAnsiTheme="majorHAnsi"/>
          <w:b/>
          <w:bCs/>
          <w:i/>
          <w:iCs/>
          <w:sz w:val="28"/>
          <w:szCs w:val="28"/>
        </w:rPr>
        <w:t>September 9</w:t>
      </w:r>
      <w:r w:rsidR="3A51A6D1" w:rsidRPr="27B0C237">
        <w:rPr>
          <w:rFonts w:asciiTheme="majorHAnsi" w:hAnsiTheme="majorHAnsi"/>
          <w:b/>
          <w:bCs/>
          <w:i/>
          <w:iCs/>
          <w:sz w:val="28"/>
          <w:szCs w:val="28"/>
        </w:rPr>
        <w:t>, 202</w:t>
      </w:r>
      <w:r w:rsidR="7B48AE5C" w:rsidRPr="27B0C237">
        <w:rPr>
          <w:rFonts w:asciiTheme="majorHAnsi" w:hAnsiTheme="majorHAnsi"/>
          <w:b/>
          <w:bCs/>
          <w:i/>
          <w:iCs/>
          <w:sz w:val="28"/>
          <w:szCs w:val="28"/>
        </w:rPr>
        <w:t>4</w:t>
      </w:r>
    </w:p>
    <w:p w14:paraId="5CA1E925" w14:textId="530458A1" w:rsidR="000528CA" w:rsidRPr="00727C1B" w:rsidRDefault="77EE7EC8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To the Commissioners C</w:t>
      </w:r>
      <w:r w:rsidR="21BD101E"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ourt </w:t>
      </w:r>
      <w:r w:rsidR="1724629E" w:rsidRPr="27B0C237">
        <w:rPr>
          <w:rFonts w:asciiTheme="majorHAnsi" w:hAnsiTheme="majorHAnsi"/>
          <w:b/>
          <w:bCs/>
          <w:i/>
          <w:iCs/>
          <w:sz w:val="28"/>
          <w:szCs w:val="28"/>
        </w:rPr>
        <w:t>of the one and only Loving County</w:t>
      </w:r>
    </w:p>
    <w:p w14:paraId="0A37501D" w14:textId="754AAB6C" w:rsidR="00140446" w:rsidRDefault="1724629E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Loving County Constable's Office pct 1-4 fees 2025-2026</w:t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</w:p>
    <w:p w14:paraId="704FD383" w14:textId="5EEFDFD9" w:rsidR="27B0C237" w:rsidRDefault="27B0C237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</w:p>
    <w:p w14:paraId="03528A0E" w14:textId="19E63CDA" w:rsidR="1724629E" w:rsidRDefault="1724629E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Subpoena – Civil (issued more than five days from court date)</w:t>
      </w:r>
      <w:r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$85.00</w:t>
      </w:r>
    </w:p>
    <w:p w14:paraId="42601C4D" w14:textId="26617044" w:rsidR="7CB97F31" w:rsidRDefault="15FF0C7E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Subpoena – Civil (issued LESS than five days from court date)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$100.00</w:t>
      </w:r>
    </w:p>
    <w:p w14:paraId="182974A1" w14:textId="62D8A606" w:rsidR="7CB97F31" w:rsidRDefault="15FF0C7E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Summons - Civil (issued more than five days from court date)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$85.00</w:t>
      </w:r>
    </w:p>
    <w:p w14:paraId="4AD66722" w14:textId="7419FFF6" w:rsidR="7CB97F31" w:rsidRDefault="15FF0C7E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Summons – Civil (issued LESS than five days from court date)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$100.00</w:t>
      </w:r>
    </w:p>
    <w:p w14:paraId="46367984" w14:textId="0B3D2A0F" w:rsidR="7CB97F31" w:rsidRDefault="15FF0C7E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Writ of </w:t>
      </w:r>
      <w:r w:rsidR="174DD346" w:rsidRPr="27B0C237">
        <w:rPr>
          <w:rFonts w:asciiTheme="majorHAnsi" w:hAnsiTheme="majorHAnsi"/>
          <w:b/>
          <w:bCs/>
          <w:i/>
          <w:iCs/>
          <w:sz w:val="28"/>
          <w:szCs w:val="28"/>
        </w:rPr>
        <w:t>Attachment</w:t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 - (Plus $50.00 per hour per office hour for each hour </w:t>
      </w:r>
      <w:r w:rsidR="49617222"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or part of an hour after first two hours) 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49617222"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="49617222" w:rsidRPr="27B0C237">
        <w:rPr>
          <w:rFonts w:asciiTheme="majorHAnsi" w:hAnsiTheme="majorHAnsi"/>
          <w:b/>
          <w:bCs/>
          <w:i/>
          <w:iCs/>
          <w:sz w:val="28"/>
          <w:szCs w:val="28"/>
        </w:rPr>
        <w:t>$200.00</w:t>
      </w:r>
    </w:p>
    <w:p w14:paraId="5E8EAE01" w14:textId="0C7E7053" w:rsidR="7CB97F31" w:rsidRDefault="49617222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Writ of Garnishment</w:t>
      </w:r>
      <w:r w:rsidR="7FC83F34"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 -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FC83F34"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- </w:t>
      </w:r>
      <w:r w:rsidR="7CB97F31">
        <w:tab/>
      </w:r>
      <w:r w:rsidR="7FC83F34" w:rsidRPr="27B0C237">
        <w:rPr>
          <w:rFonts w:asciiTheme="majorHAnsi" w:hAnsiTheme="majorHAnsi"/>
          <w:b/>
          <w:bCs/>
          <w:i/>
          <w:iCs/>
          <w:sz w:val="28"/>
          <w:szCs w:val="28"/>
        </w:rPr>
        <w:t>$200.00</w:t>
      </w:r>
    </w:p>
    <w:p w14:paraId="0EAFFAAB" w14:textId="70AF4A1F" w:rsidR="7CB97F31" w:rsidRDefault="7FC83F34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W</w:t>
      </w:r>
      <w:r w:rsidR="1C8CF918" w:rsidRPr="27B0C237">
        <w:rPr>
          <w:rFonts w:asciiTheme="majorHAnsi" w:hAnsiTheme="majorHAnsi"/>
          <w:b/>
          <w:bCs/>
          <w:i/>
          <w:iCs/>
          <w:sz w:val="28"/>
          <w:szCs w:val="28"/>
        </w:rPr>
        <w:t>r</w:t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it of Sequestration - </w:t>
      </w:r>
      <w:r w:rsidR="7CB97F31">
        <w:tab/>
      </w:r>
      <w:r w:rsidR="148ED50F"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(Plus $50.00 per hour per office hour for each hour or part of an hour after first two hours) 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- </w:t>
      </w:r>
      <w:r w:rsidR="7CB97F31">
        <w:tab/>
      </w:r>
      <w:r w:rsidR="7AB6351D" w:rsidRPr="27B0C237">
        <w:rPr>
          <w:rFonts w:asciiTheme="majorHAnsi" w:hAnsiTheme="majorHAnsi"/>
          <w:b/>
          <w:bCs/>
          <w:i/>
          <w:iCs/>
          <w:sz w:val="28"/>
          <w:szCs w:val="28"/>
        </w:rPr>
        <w:t>$200.00</w:t>
      </w:r>
    </w:p>
    <w:p w14:paraId="6E3C0532" w14:textId="75C8AB8B" w:rsidR="7CB97F31" w:rsidRDefault="7AB6351D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Order of Sale (plus </w:t>
      </w:r>
      <w:r w:rsidR="25D6D2CA" w:rsidRPr="27B0C237">
        <w:rPr>
          <w:rFonts w:asciiTheme="majorHAnsi" w:hAnsiTheme="majorHAnsi"/>
          <w:b/>
          <w:bCs/>
          <w:i/>
          <w:iCs/>
          <w:sz w:val="28"/>
          <w:szCs w:val="28"/>
        </w:rPr>
        <w:t>5% straight commission)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$200.00</w:t>
      </w:r>
    </w:p>
    <w:p w14:paraId="2AF263AB" w14:textId="4BE3ACB7" w:rsidR="7CB97F31" w:rsidRDefault="1DDCC5C4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Writ of Possession (Plus $50.00 per hour per office hour for each hour or part of an hour after first two hours) 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$200.00</w:t>
      </w:r>
    </w:p>
    <w:p w14:paraId="3CCB3BDD" w14:textId="0F8ACB12" w:rsidR="7CB97F31" w:rsidRDefault="1DDCC5C4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Forcible Entry Detainer -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- 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$85.00</w:t>
      </w:r>
    </w:p>
    <w:p w14:paraId="41F51D74" w14:textId="5EA64A58" w:rsidR="7CB97F31" w:rsidRDefault="1DDCC5C4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Notice, Precepts, Show Cause - 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$85.00</w:t>
      </w:r>
    </w:p>
    <w:p w14:paraId="61E2E841" w14:textId="6D45AF53" w:rsidR="7CB97F31" w:rsidRDefault="1DDCC5C4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lastRenderedPageBreak/>
        <w:t xml:space="preserve">Other Service Fees: - (Plus $50.00 per hour per office hour for each hour or part of an hour after first two hours) 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_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$200.00</w:t>
      </w:r>
    </w:p>
    <w:p w14:paraId="566EC4F5" w14:textId="7EFC9308" w:rsidR="7CB97F31" w:rsidRDefault="1B3B0830" w:rsidP="27B0C23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2AFA6456" wp14:editId="07101170">
            <wp:extent cx="790575" cy="762000"/>
            <wp:effectExtent l="0" t="0" r="0" b="0"/>
            <wp:docPr id="854973640" name="Picture 85497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40"/>
          <w:szCs w:val="40"/>
        </w:rPr>
        <w:t xml:space="preserve">Brandon Jones </w:t>
      </w:r>
      <w:r w:rsidR="7CB97F31">
        <w:tab/>
      </w:r>
      <w:r w:rsidR="7CB97F31">
        <w:tab/>
      </w:r>
      <w:r w:rsidR="7CB97F31">
        <w:tab/>
      </w:r>
      <w:r w:rsidR="7CB97F31">
        <w:tab/>
      </w:r>
      <w:r>
        <w:rPr>
          <w:noProof/>
        </w:rPr>
        <w:drawing>
          <wp:inline distT="0" distB="0" distL="0" distR="0" wp14:anchorId="7BC7FCD8" wp14:editId="781BEFD5">
            <wp:extent cx="790575" cy="762000"/>
            <wp:effectExtent l="0" t="0" r="0" b="0"/>
            <wp:docPr id="2077218435" name="Picture 2077218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3C90A" w14:textId="06DCC575" w:rsidR="7CB97F31" w:rsidRDefault="1B3B0830" w:rsidP="27B0C237">
      <w:pPr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27B0C23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40"/>
          <w:szCs w:val="40"/>
        </w:rPr>
        <w:t xml:space="preserve">Loving County Constable </w:t>
      </w:r>
    </w:p>
    <w:p w14:paraId="4FE6DCC1" w14:textId="23B93D45" w:rsidR="7CB97F31" w:rsidRDefault="1B3B0830" w:rsidP="27B0C237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27B0C23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P.O. Box 217 </w:t>
      </w:r>
      <w:r w:rsidRPr="27B0C237">
        <w:rPr>
          <w:rFonts w:ascii="Wingdings 2" w:eastAsia="Wingdings 2" w:hAnsi="Wingdings 2" w:cs="Wingdings 2"/>
          <w:b/>
          <w:bCs/>
          <w:smallCaps/>
          <w:color w:val="000000" w:themeColor="text1"/>
          <w:sz w:val="16"/>
          <w:szCs w:val="16"/>
        </w:rPr>
        <w:t>⬤</w:t>
      </w:r>
      <w:r w:rsidRPr="27B0C23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100 Bell Street </w:t>
      </w:r>
      <w:r w:rsidRPr="27B0C237">
        <w:rPr>
          <w:rFonts w:ascii="Wingdings 2" w:eastAsia="Wingdings 2" w:hAnsi="Wingdings 2" w:cs="Wingdings 2"/>
          <w:b/>
          <w:bCs/>
          <w:smallCaps/>
          <w:color w:val="000000" w:themeColor="text1"/>
          <w:sz w:val="16"/>
          <w:szCs w:val="16"/>
        </w:rPr>
        <w:t>⬤</w:t>
      </w:r>
      <w:r w:rsidRPr="27B0C23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 Mentone, Texas </w:t>
      </w:r>
      <w:r w:rsidRPr="27B0C237">
        <w:rPr>
          <w:rFonts w:ascii="Wingdings 2" w:eastAsia="Wingdings 2" w:hAnsi="Wingdings 2" w:cs="Wingdings 2"/>
          <w:b/>
          <w:bCs/>
          <w:smallCaps/>
          <w:color w:val="000000" w:themeColor="text1"/>
          <w:sz w:val="16"/>
          <w:szCs w:val="16"/>
        </w:rPr>
        <w:t>⬤</w:t>
      </w:r>
      <w:r w:rsidRPr="27B0C23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 Phone: 432-215-0101</w:t>
      </w:r>
      <w:r w:rsidRPr="27B0C237">
        <w:rPr>
          <w:rFonts w:ascii="Wingdings 2" w:eastAsia="Wingdings 2" w:hAnsi="Wingdings 2" w:cs="Wingdings 2"/>
          <w:b/>
          <w:bCs/>
          <w:smallCaps/>
          <w:color w:val="000000" w:themeColor="text1"/>
          <w:sz w:val="16"/>
          <w:szCs w:val="16"/>
        </w:rPr>
        <w:t>⬤</w:t>
      </w:r>
      <w:r w:rsidRPr="27B0C23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16"/>
          <w:szCs w:val="16"/>
        </w:rPr>
        <w:t xml:space="preserve">Email: </w:t>
      </w:r>
      <w:hyperlink r:id="rId9">
        <w:r w:rsidRPr="27B0C237">
          <w:rPr>
            <w:rStyle w:val="Hyperlink"/>
            <w:rFonts w:ascii="Times New Roman" w:eastAsia="Times New Roman" w:hAnsi="Times New Roman" w:cs="Times New Roman"/>
            <w:b/>
            <w:bCs/>
            <w:smallCaps/>
            <w:sz w:val="16"/>
            <w:szCs w:val="16"/>
          </w:rPr>
          <w:t>lovingconstable@co.loving.tx.us</w:t>
        </w:r>
      </w:hyperlink>
    </w:p>
    <w:p w14:paraId="23DB6B14" w14:textId="5EB24A58" w:rsidR="7CB97F31" w:rsidRDefault="7CB97F31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</w:p>
    <w:p w14:paraId="09649259" w14:textId="1328EE99" w:rsidR="7CB97F31" w:rsidRDefault="1DDCC5C4" w:rsidP="27B0C237">
      <w:pPr>
        <w:rPr>
          <w:rFonts w:ascii="Calibri" w:eastAsia="Calibri" w:hAnsi="Calibri" w:cs="Calibri"/>
          <w:color w:val="000000" w:themeColor="text1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Cancellation fee, Order of Sale or Writ of Execution- With plaintiff direction to </w:t>
      </w:r>
      <w:r w:rsidR="5DC958CE" w:rsidRPr="27B0C237">
        <w:rPr>
          <w:rFonts w:asciiTheme="majorHAnsi" w:hAnsiTheme="majorHAnsi"/>
          <w:b/>
          <w:bCs/>
          <w:i/>
          <w:iCs/>
          <w:sz w:val="28"/>
          <w:szCs w:val="28"/>
        </w:rPr>
        <w:t>withhold</w:t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 or release levy, without collection, cancel or recall wr</w:t>
      </w:r>
      <w:r w:rsidR="7710AD19" w:rsidRPr="27B0C237">
        <w:rPr>
          <w:rFonts w:asciiTheme="majorHAnsi" w:hAnsiTheme="majorHAnsi"/>
          <w:b/>
          <w:bCs/>
          <w:i/>
          <w:iCs/>
          <w:sz w:val="28"/>
          <w:szCs w:val="28"/>
        </w:rPr>
        <w:t>it without Sheriff or Constable</w:t>
      </w:r>
      <w:r w:rsidR="7711AC30"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 completing collection of judgment and cost, shall include all cost and cancellation fees (except Tax and </w:t>
      </w:r>
      <w:r w:rsidR="56AE5787" w:rsidRPr="27B0C237">
        <w:rPr>
          <w:rFonts w:asciiTheme="majorHAnsi" w:hAnsiTheme="majorHAnsi"/>
          <w:b/>
          <w:bCs/>
          <w:i/>
          <w:iCs/>
          <w:sz w:val="28"/>
          <w:szCs w:val="28"/>
        </w:rPr>
        <w:t>Foreclosure Orders)</w:t>
      </w:r>
      <w:r w:rsidR="7CB97F31">
        <w:tab/>
      </w:r>
      <w:r w:rsidR="7CB97F31">
        <w:tab/>
      </w:r>
      <w:r w:rsidR="56AE5787"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="56AE5787" w:rsidRPr="27B0C237">
        <w:rPr>
          <w:rFonts w:asciiTheme="majorHAnsi" w:hAnsiTheme="majorHAnsi"/>
          <w:b/>
          <w:bCs/>
          <w:i/>
          <w:iCs/>
          <w:sz w:val="28"/>
          <w:szCs w:val="28"/>
        </w:rPr>
        <w:t>$200.00</w:t>
      </w:r>
    </w:p>
    <w:p w14:paraId="0B5671B4" w14:textId="15EC89DD" w:rsidR="7CB97F31" w:rsidRDefault="56AE5787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Service Fees:</w:t>
      </w:r>
    </w:p>
    <w:p w14:paraId="549758A8" w14:textId="0E7D814E" w:rsidR="7CB97F31" w:rsidRDefault="56AE5787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All Civil Citations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$85.00</w:t>
      </w:r>
    </w:p>
    <w:p w14:paraId="78299642" w14:textId="516DE772" w:rsidR="7CB97F31" w:rsidRDefault="56AE5787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Posting (All Types)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$85.00</w:t>
      </w:r>
      <w:r w:rsidR="7CB97F31">
        <w:tab/>
      </w:r>
    </w:p>
    <w:p w14:paraId="48EC5051" w14:textId="75E4F7B5" w:rsidR="7CB97F31" w:rsidRDefault="56AE5787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Citation by Publication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$85.00</w:t>
      </w:r>
    </w:p>
    <w:p w14:paraId="3428B056" w14:textId="128BBF9B" w:rsidR="7CB97F31" w:rsidRDefault="56AE5787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Expunction (Per agency)</w:t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-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$15.00</w:t>
      </w:r>
    </w:p>
    <w:p w14:paraId="2AD621CE" w14:textId="74BBF17C" w:rsidR="7CB97F31" w:rsidRDefault="56AE5787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Writ of execution (Plus straight 5% commission) </w:t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- 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$200.00</w:t>
      </w:r>
    </w:p>
    <w:p w14:paraId="30866B9C" w14:textId="1BE233B8" w:rsidR="7CB97F31" w:rsidRDefault="3045CDF9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Writ of Assistance for Repossession of an Aircraft </w:t>
      </w:r>
      <w:r w:rsidR="7CB97F31">
        <w:tab/>
      </w:r>
      <w:r w:rsidR="7CB97F31">
        <w:tab/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- </w:t>
      </w:r>
      <w:r w:rsidR="7CB97F31">
        <w:tab/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>$500.00</w:t>
      </w:r>
    </w:p>
    <w:p w14:paraId="0BD73B76" w14:textId="1CAEDB82" w:rsidR="7CB97F31" w:rsidRDefault="7CB97F31" w:rsidP="27B0C237">
      <w:pPr>
        <w:rPr>
          <w:rFonts w:asciiTheme="majorHAnsi" w:hAnsiTheme="majorHAnsi"/>
          <w:b/>
          <w:bCs/>
          <w:i/>
          <w:iCs/>
          <w:sz w:val="28"/>
          <w:szCs w:val="28"/>
        </w:rPr>
      </w:pPr>
    </w:p>
    <w:p w14:paraId="5DAB6C7B" w14:textId="2A2B3AD2" w:rsidR="00844CF4" w:rsidRPr="00871C7A" w:rsidRDefault="3045CDF9" w:rsidP="00334D7C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Fees for Civil Process, in accordance with the Texas Comptroller of Public Accounts and as approved by the </w:t>
      </w:r>
      <w:r w:rsidR="2503598B" w:rsidRPr="27B0C237">
        <w:rPr>
          <w:rFonts w:asciiTheme="majorHAnsi" w:hAnsiTheme="majorHAnsi"/>
          <w:b/>
          <w:bCs/>
          <w:i/>
          <w:iCs/>
          <w:sz w:val="28"/>
          <w:szCs w:val="28"/>
        </w:rPr>
        <w:t>commissioner's</w:t>
      </w:r>
      <w:r w:rsidRPr="27B0C237">
        <w:rPr>
          <w:rFonts w:asciiTheme="majorHAnsi" w:hAnsiTheme="majorHAnsi"/>
          <w:b/>
          <w:bCs/>
          <w:i/>
          <w:iCs/>
          <w:sz w:val="28"/>
          <w:szCs w:val="28"/>
        </w:rPr>
        <w:t xml:space="preserve"> court of </w:t>
      </w:r>
      <w:r w:rsidR="492B1E10" w:rsidRPr="27B0C237">
        <w:rPr>
          <w:rFonts w:asciiTheme="majorHAnsi" w:hAnsiTheme="majorHAnsi"/>
          <w:b/>
          <w:bCs/>
          <w:i/>
          <w:iCs/>
          <w:sz w:val="28"/>
          <w:szCs w:val="28"/>
        </w:rPr>
        <w:t>Loving County</w:t>
      </w:r>
      <w:r w:rsidR="791F056C" w:rsidRPr="27B0C237">
        <w:rPr>
          <w:rFonts w:asciiTheme="majorHAnsi" w:hAnsiTheme="majorHAnsi"/>
          <w:b/>
          <w:bCs/>
          <w:i/>
          <w:iCs/>
          <w:sz w:val="28"/>
          <w:szCs w:val="28"/>
        </w:rPr>
        <w:t>, Texas, are Effective January 1, 2025</w:t>
      </w:r>
    </w:p>
    <w:p w14:paraId="1901E444" w14:textId="77777777" w:rsidR="00334D7C" w:rsidRDefault="00334D7C" w:rsidP="00334D7C">
      <w:pPr>
        <w:rPr>
          <w:sz w:val="28"/>
          <w:szCs w:val="28"/>
        </w:rPr>
      </w:pPr>
      <w:r>
        <w:rPr>
          <w:sz w:val="28"/>
          <w:szCs w:val="28"/>
        </w:rPr>
        <w:t xml:space="preserve">Constable B. Jones </w:t>
      </w:r>
    </w:p>
    <w:p w14:paraId="02EB378F" w14:textId="77777777" w:rsidR="00334D7C" w:rsidRDefault="006F5108" w:rsidP="00334D7C">
      <w:pPr>
        <w:rPr>
          <w:sz w:val="28"/>
          <w:szCs w:val="28"/>
        </w:rPr>
      </w:pPr>
      <w:r>
        <w:pict w14:anchorId="32C2E8EE">
          <v:shape id="Picture 1" o:spid="_x0000_i1026" type="#_x0000_t75" style="width:11.25pt;height:18pt;visibility:visible;mso-wrap-style:square">
            <v:imagedata r:id="rId10" o:title=""/>
          </v:shape>
        </w:pict>
      </w:r>
    </w:p>
    <w:p w14:paraId="5B97FE4B" w14:textId="77777777" w:rsidR="001D036E" w:rsidRPr="000528CA" w:rsidRDefault="000528CA">
      <w:pPr>
        <w:rPr>
          <w:sz w:val="28"/>
          <w:szCs w:val="28"/>
        </w:rPr>
      </w:pPr>
      <w:r>
        <w:rPr>
          <w:sz w:val="28"/>
          <w:szCs w:val="28"/>
        </w:rPr>
        <w:t>Loving County Constable’s Office</w:t>
      </w:r>
    </w:p>
    <w:sectPr w:rsidR="001D036E" w:rsidRPr="000528CA" w:rsidSect="001D036E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720" w:right="720" w:bottom="720" w:left="72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3F20" w14:textId="77777777" w:rsidR="00C64554" w:rsidRDefault="00C64554" w:rsidP="001D036E">
      <w:pPr>
        <w:spacing w:after="0" w:line="240" w:lineRule="auto"/>
      </w:pPr>
      <w:r>
        <w:separator/>
      </w:r>
    </w:p>
  </w:endnote>
  <w:endnote w:type="continuationSeparator" w:id="0">
    <w:p w14:paraId="58B97791" w14:textId="77777777" w:rsidR="00C64554" w:rsidRDefault="00C64554" w:rsidP="001D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FD13EA" w:rsidRDefault="00FD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FD13EA" w:rsidRDefault="00FD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FD13EA" w:rsidRDefault="00FD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63B4" w14:textId="77777777" w:rsidR="00C64554" w:rsidRDefault="00C64554" w:rsidP="001D036E">
      <w:pPr>
        <w:spacing w:after="0" w:line="240" w:lineRule="auto"/>
      </w:pPr>
      <w:r>
        <w:separator/>
      </w:r>
    </w:p>
  </w:footnote>
  <w:footnote w:type="continuationSeparator" w:id="0">
    <w:p w14:paraId="5272E0E4" w14:textId="77777777" w:rsidR="00C64554" w:rsidRDefault="00C64554" w:rsidP="001D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7B0C237" w14:paraId="484F329D" w14:textId="77777777" w:rsidTr="27B0C237">
      <w:trPr>
        <w:trHeight w:val="300"/>
      </w:trPr>
      <w:tc>
        <w:tcPr>
          <w:tcW w:w="3600" w:type="dxa"/>
        </w:tcPr>
        <w:p w14:paraId="7AC91065" w14:textId="458E81EE" w:rsidR="27B0C237" w:rsidRDefault="27B0C237" w:rsidP="27B0C237">
          <w:pPr>
            <w:pStyle w:val="Header"/>
            <w:ind w:left="-115"/>
          </w:pPr>
        </w:p>
      </w:tc>
      <w:tc>
        <w:tcPr>
          <w:tcW w:w="3600" w:type="dxa"/>
        </w:tcPr>
        <w:p w14:paraId="18BB727E" w14:textId="46303D7A" w:rsidR="27B0C237" w:rsidRDefault="27B0C237" w:rsidP="27B0C237">
          <w:pPr>
            <w:pStyle w:val="Header"/>
            <w:jc w:val="center"/>
          </w:pPr>
        </w:p>
      </w:tc>
      <w:tc>
        <w:tcPr>
          <w:tcW w:w="3600" w:type="dxa"/>
        </w:tcPr>
        <w:p w14:paraId="61ECADCF" w14:textId="0567C849" w:rsidR="27B0C237" w:rsidRDefault="27B0C237" w:rsidP="27B0C237">
          <w:pPr>
            <w:pStyle w:val="Header"/>
            <w:ind w:right="-115"/>
            <w:jc w:val="right"/>
          </w:pPr>
        </w:p>
      </w:tc>
    </w:tr>
  </w:tbl>
  <w:p w14:paraId="50B13DEB" w14:textId="211F94A2" w:rsidR="27B0C237" w:rsidRDefault="27B0C237" w:rsidP="27B0C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8.75pt;visibility:visible;mso-wrap-style:square" o:bullet="t">
        <v:imagedata r:id="rId1" o:title=""/>
      </v:shape>
    </w:pict>
  </w:numPicBullet>
  <w:abstractNum w:abstractNumId="0" w15:restartNumberingAfterBreak="0">
    <w:nsid w:val="39E421E6"/>
    <w:multiLevelType w:val="hybridMultilevel"/>
    <w:tmpl w:val="7444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6E"/>
    <w:rsid w:val="000528CA"/>
    <w:rsid w:val="0007154D"/>
    <w:rsid w:val="000A1F1A"/>
    <w:rsid w:val="000B761E"/>
    <w:rsid w:val="000D2B8D"/>
    <w:rsid w:val="000D44A3"/>
    <w:rsid w:val="00111987"/>
    <w:rsid w:val="00123A4E"/>
    <w:rsid w:val="00140446"/>
    <w:rsid w:val="001D036E"/>
    <w:rsid w:val="001D74FB"/>
    <w:rsid w:val="0027325D"/>
    <w:rsid w:val="002919B1"/>
    <w:rsid w:val="002B1F90"/>
    <w:rsid w:val="002F02AF"/>
    <w:rsid w:val="00334D7C"/>
    <w:rsid w:val="0034767D"/>
    <w:rsid w:val="00375337"/>
    <w:rsid w:val="00392077"/>
    <w:rsid w:val="003C16BE"/>
    <w:rsid w:val="003E239F"/>
    <w:rsid w:val="004E1E9E"/>
    <w:rsid w:val="004F5714"/>
    <w:rsid w:val="005454A3"/>
    <w:rsid w:val="005739B4"/>
    <w:rsid w:val="005C4862"/>
    <w:rsid w:val="00692B8A"/>
    <w:rsid w:val="006F5108"/>
    <w:rsid w:val="007965E5"/>
    <w:rsid w:val="008201B2"/>
    <w:rsid w:val="00844CF4"/>
    <w:rsid w:val="00871C7A"/>
    <w:rsid w:val="008B44DF"/>
    <w:rsid w:val="00951705"/>
    <w:rsid w:val="00995C6C"/>
    <w:rsid w:val="009B5DD9"/>
    <w:rsid w:val="00AD7646"/>
    <w:rsid w:val="00B201ED"/>
    <w:rsid w:val="00B772F6"/>
    <w:rsid w:val="00C30794"/>
    <w:rsid w:val="00C4006D"/>
    <w:rsid w:val="00C64554"/>
    <w:rsid w:val="00D3223E"/>
    <w:rsid w:val="00DC36C4"/>
    <w:rsid w:val="00E00B85"/>
    <w:rsid w:val="00E52876"/>
    <w:rsid w:val="00E94D8D"/>
    <w:rsid w:val="00E97D36"/>
    <w:rsid w:val="00F85E09"/>
    <w:rsid w:val="00FC48B2"/>
    <w:rsid w:val="00FD13EA"/>
    <w:rsid w:val="00FF295B"/>
    <w:rsid w:val="01829F17"/>
    <w:rsid w:val="0242CCCE"/>
    <w:rsid w:val="0738EE14"/>
    <w:rsid w:val="07ECDFE4"/>
    <w:rsid w:val="084074A9"/>
    <w:rsid w:val="08BC6798"/>
    <w:rsid w:val="0ADDCF51"/>
    <w:rsid w:val="0C13BDEE"/>
    <w:rsid w:val="0E18D9DE"/>
    <w:rsid w:val="0E4B0E6B"/>
    <w:rsid w:val="0FD9FD6E"/>
    <w:rsid w:val="0FDE5A98"/>
    <w:rsid w:val="10422BF2"/>
    <w:rsid w:val="1137B021"/>
    <w:rsid w:val="1236CAEB"/>
    <w:rsid w:val="148ED50F"/>
    <w:rsid w:val="15FF0C7E"/>
    <w:rsid w:val="1724629E"/>
    <w:rsid w:val="174DD346"/>
    <w:rsid w:val="183DCAD1"/>
    <w:rsid w:val="199CDE82"/>
    <w:rsid w:val="19FB37DA"/>
    <w:rsid w:val="1B3B0830"/>
    <w:rsid w:val="1C8CF918"/>
    <w:rsid w:val="1CD90A98"/>
    <w:rsid w:val="1DDCC5C4"/>
    <w:rsid w:val="1E0654E4"/>
    <w:rsid w:val="21BD101E"/>
    <w:rsid w:val="2282707C"/>
    <w:rsid w:val="2503598B"/>
    <w:rsid w:val="25D6D2CA"/>
    <w:rsid w:val="27B0C237"/>
    <w:rsid w:val="27D3EA09"/>
    <w:rsid w:val="28631109"/>
    <w:rsid w:val="287B8509"/>
    <w:rsid w:val="2A11F1DE"/>
    <w:rsid w:val="2B5AF79C"/>
    <w:rsid w:val="2CEEC989"/>
    <w:rsid w:val="2E303B84"/>
    <w:rsid w:val="2E4DF17E"/>
    <w:rsid w:val="2E8B0935"/>
    <w:rsid w:val="2EAA86F7"/>
    <w:rsid w:val="2F1D8F6E"/>
    <w:rsid w:val="2F71C244"/>
    <w:rsid w:val="2F92D5D0"/>
    <w:rsid w:val="2F9A75B2"/>
    <w:rsid w:val="2FF8C990"/>
    <w:rsid w:val="3045CDF9"/>
    <w:rsid w:val="30ACCC38"/>
    <w:rsid w:val="32126E76"/>
    <w:rsid w:val="32A5D80B"/>
    <w:rsid w:val="33C2DF1E"/>
    <w:rsid w:val="3486EFA3"/>
    <w:rsid w:val="36222817"/>
    <w:rsid w:val="36BF70F6"/>
    <w:rsid w:val="3703C297"/>
    <w:rsid w:val="394B9742"/>
    <w:rsid w:val="3A51A6D1"/>
    <w:rsid w:val="3F0F122E"/>
    <w:rsid w:val="401331A5"/>
    <w:rsid w:val="41A583D5"/>
    <w:rsid w:val="42354AF1"/>
    <w:rsid w:val="42C3AB29"/>
    <w:rsid w:val="46B5B5BB"/>
    <w:rsid w:val="47547011"/>
    <w:rsid w:val="49051F6A"/>
    <w:rsid w:val="492B1E10"/>
    <w:rsid w:val="49617222"/>
    <w:rsid w:val="4A17A2BF"/>
    <w:rsid w:val="4A43CF02"/>
    <w:rsid w:val="4B5D45D4"/>
    <w:rsid w:val="4C063AE0"/>
    <w:rsid w:val="4CD94CB1"/>
    <w:rsid w:val="4E9DC674"/>
    <w:rsid w:val="52DCE6ED"/>
    <w:rsid w:val="5651F390"/>
    <w:rsid w:val="56AE5787"/>
    <w:rsid w:val="59536403"/>
    <w:rsid w:val="5DA62BAA"/>
    <w:rsid w:val="5DC958CE"/>
    <w:rsid w:val="5DDC329C"/>
    <w:rsid w:val="5FA2109A"/>
    <w:rsid w:val="61C0E4FA"/>
    <w:rsid w:val="61D0E682"/>
    <w:rsid w:val="61E32D02"/>
    <w:rsid w:val="623B2C1C"/>
    <w:rsid w:val="672FE47A"/>
    <w:rsid w:val="6779D761"/>
    <w:rsid w:val="682E1BCB"/>
    <w:rsid w:val="68797F6C"/>
    <w:rsid w:val="6C8BDFB3"/>
    <w:rsid w:val="6CE74901"/>
    <w:rsid w:val="6E341066"/>
    <w:rsid w:val="6EF95092"/>
    <w:rsid w:val="731097EB"/>
    <w:rsid w:val="743CA826"/>
    <w:rsid w:val="75D63665"/>
    <w:rsid w:val="76611A31"/>
    <w:rsid w:val="76E35D3A"/>
    <w:rsid w:val="7710AD19"/>
    <w:rsid w:val="7711AC30"/>
    <w:rsid w:val="77EE7EC8"/>
    <w:rsid w:val="791F056C"/>
    <w:rsid w:val="7A38D875"/>
    <w:rsid w:val="7AB6351D"/>
    <w:rsid w:val="7B44DB89"/>
    <w:rsid w:val="7B48AE5C"/>
    <w:rsid w:val="7C119565"/>
    <w:rsid w:val="7CB97F31"/>
    <w:rsid w:val="7D149415"/>
    <w:rsid w:val="7DD7922E"/>
    <w:rsid w:val="7FC83F34"/>
    <w:rsid w:val="7FE1FE6A"/>
    <w:rsid w:val="7FE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4C770"/>
  <w15:docId w15:val="{03C08063-58AD-4A8A-A005-409E1FD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6E"/>
  </w:style>
  <w:style w:type="paragraph" w:styleId="Footer">
    <w:name w:val="footer"/>
    <w:basedOn w:val="Normal"/>
    <w:link w:val="FooterChar"/>
    <w:uiPriority w:val="99"/>
    <w:unhideWhenUsed/>
    <w:rsid w:val="001D0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6E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ngconstable@co.loving.tx.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lovingconstable@co.loving.tx.us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Melody Garza</dc:creator>
  <cp:lastModifiedBy>Brandon Jones</cp:lastModifiedBy>
  <cp:revision>2</cp:revision>
  <cp:lastPrinted>2021-09-02T21:06:00Z</cp:lastPrinted>
  <dcterms:created xsi:type="dcterms:W3CDTF">2025-05-06T18:01:00Z</dcterms:created>
  <dcterms:modified xsi:type="dcterms:W3CDTF">2025-05-06T18:01:00Z</dcterms:modified>
</cp:coreProperties>
</file>